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color w:val="FF0000"/>
          <w:w w:val="80"/>
          <w:sz w:val="64"/>
        </w:rPr>
      </w:pPr>
      <w:r>
        <w:rPr>
          <w:rFonts w:ascii="Times New Roman" w:hAnsi="Times New Roman" w:eastAsia="方正仿宋_GBK" w:cs="Times New Roman"/>
          <w:spacing w:val="60"/>
          <w:sz w:val="32"/>
        </w:rPr>
        <w:pict>
          <v:line id="Line 4" o:spid="_x0000_s1030" o:spt="20" style="position:absolute;left:0pt;margin-left:-7.3pt;margin-top:56.95pt;height:0pt;width:455.4pt;z-index:251658240;mso-width-relative:page;mso-height-relative:page;" stroked="t" coordsize="21600,21600">
            <v:path arrowok="t"/>
            <v:fill focussize="0,0"/>
            <v:stroke weight="4.5pt" color="#FF0000" linestyle="thickThin"/>
            <v:imagedata o:title=""/>
            <o:lock v:ext="edit"/>
          </v:line>
        </w:pict>
      </w:r>
      <w:r>
        <w:rPr>
          <w:rFonts w:hint="eastAsia" w:ascii="方正小标宋_GBK" w:hAnsi="方正小标宋_GBK" w:eastAsia="方正小标宋_GBK" w:cs="方正小标宋_GBK"/>
          <w:b/>
          <w:color w:val="FF0000"/>
          <w:spacing w:val="60"/>
          <w:w w:val="80"/>
          <w:sz w:val="66"/>
        </w:rPr>
        <w:t>重庆市渝北区精神文明办公</w:t>
      </w:r>
      <w:r>
        <w:rPr>
          <w:rFonts w:hint="eastAsia" w:ascii="方正小标宋_GBK" w:hAnsi="方正小标宋_GBK" w:eastAsia="方正小标宋_GBK" w:cs="方正小标宋_GBK"/>
          <w:b/>
          <w:color w:val="FF0000"/>
          <w:spacing w:val="24"/>
          <w:w w:val="80"/>
          <w:sz w:val="66"/>
        </w:rPr>
        <w:t>室</w:t>
      </w:r>
    </w:p>
    <w:p>
      <w:pPr>
        <w:spacing w:line="240" w:lineRule="exact"/>
        <w:rPr>
          <w:rFonts w:ascii="方正小标宋_GBK" w:hAnsi="方正小标宋_GBK" w:eastAsia="方正小标宋_GBK" w:cs="方正小标宋_GBK"/>
          <w:sz w:val="44"/>
          <w:szCs w:val="44"/>
        </w:rPr>
      </w:pPr>
    </w:p>
    <w:p>
      <w:pPr>
        <w:adjustRightInd w:val="0"/>
        <w:snapToGrid w:val="0"/>
        <w:spacing w:line="600" w:lineRule="exact"/>
        <w:jc w:val="center"/>
        <w:rPr>
          <w:rFonts w:ascii="Times New Roman" w:hAnsi="Times New Roman" w:eastAsia="方正仿宋_GBK" w:cs="Times New Roman"/>
          <w:kern w:val="0"/>
          <w:sz w:val="32"/>
          <w:szCs w:val="32"/>
        </w:rPr>
      </w:pPr>
      <w:r>
        <w:rPr>
          <w:rFonts w:hint="eastAsia" w:ascii="方正小标宋_GBK" w:eastAsia="方正小标宋_GBK"/>
          <w:snapToGrid w:val="0"/>
          <w:spacing w:val="-20"/>
          <w:kern w:val="0"/>
          <w:sz w:val="44"/>
          <w:szCs w:val="44"/>
        </w:rPr>
        <w:t>关于公布2020年第四季度诚信红黑榜名单的通知</w:t>
      </w:r>
    </w:p>
    <w:p>
      <w:pPr>
        <w:adjustRightInd w:val="0"/>
        <w:snapToGrid w:val="0"/>
        <w:spacing w:line="60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区融媒体中心、区政务办，各镇街</w:t>
      </w:r>
      <w:r>
        <w:rPr>
          <w:rFonts w:ascii="Times New Roman" w:hAnsi="Times New Roman" w:eastAsia="方正仿宋_GBK" w:cs="Times New Roman"/>
          <w:kern w:val="0"/>
          <w:sz w:val="32"/>
          <w:szCs w:val="32"/>
        </w:rPr>
        <w:t>：</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为进一步推进我区诚信建设，认真落实《重庆市渝北区精神</w:t>
      </w:r>
      <w:r>
        <w:rPr>
          <w:rFonts w:ascii="Times New Roman" w:eastAsia="方正仿宋_GBK" w:cs="Times New Roman"/>
          <w:sz w:val="32"/>
          <w:szCs w:val="32"/>
        </w:rPr>
        <w:t>文明建设指导委员会印发〈关于在全区集中治理诚信缺失突出问</w:t>
      </w:r>
      <w:r>
        <w:rPr>
          <w:rFonts w:ascii="Times New Roman" w:eastAsia="方正仿宋_GBK" w:cs="Times New Roman"/>
          <w:color w:val="000000" w:themeColor="text1"/>
          <w:sz w:val="32"/>
          <w:szCs w:val="32"/>
        </w:rPr>
        <w:t>题提升社会诚信水平的实施方案〉的通知》（渝北文明委〔</w:t>
      </w:r>
      <w:r>
        <w:rPr>
          <w:rFonts w:ascii="Times New Roman" w:hAnsi="Times New Roman" w:eastAsia="方正仿宋_GBK" w:cs="Times New Roman"/>
          <w:color w:val="000000" w:themeColor="text1"/>
          <w:sz w:val="32"/>
          <w:szCs w:val="32"/>
        </w:rPr>
        <w:t>2018</w:t>
      </w:r>
      <w:r>
        <w:rPr>
          <w:rFonts w:asci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9</w:t>
      </w:r>
      <w:r>
        <w:rPr>
          <w:rFonts w:ascii="Times New Roman" w:eastAsia="方正仿宋_GBK" w:cs="Times New Roman"/>
          <w:color w:val="000000" w:themeColor="text1"/>
          <w:sz w:val="32"/>
          <w:szCs w:val="32"/>
        </w:rPr>
        <w:t>号）及《</w:t>
      </w:r>
      <w:r>
        <w:rPr>
          <w:rFonts w:hint="eastAsia" w:ascii="Times New Roman" w:eastAsia="方正仿宋_GBK" w:cs="Times New Roman"/>
          <w:color w:val="000000" w:themeColor="text1"/>
          <w:sz w:val="32"/>
          <w:szCs w:val="32"/>
        </w:rPr>
        <w:t>重庆市渝北区精神文明办公室关于印发&lt;渝北区全国文明城区测评体系操作手册责任分解（2020年版）&gt;的通知（渝北文明办〔2020〕14号）</w:t>
      </w:r>
      <w:r>
        <w:rPr>
          <w:rFonts w:ascii="Times New Roman" w:eastAsia="方正仿宋_GBK" w:cs="Times New Roman"/>
          <w:color w:val="000000" w:themeColor="text1"/>
          <w:sz w:val="32"/>
          <w:szCs w:val="32"/>
        </w:rPr>
        <w:t>》</w:t>
      </w:r>
      <w:r>
        <w:rPr>
          <w:rFonts w:hint="eastAsia" w:ascii="Times New Roman" w:eastAsia="方正仿宋_GBK" w:cs="Times New Roman"/>
          <w:color w:val="000000" w:themeColor="text1"/>
          <w:sz w:val="32"/>
          <w:szCs w:val="32"/>
        </w:rPr>
        <w:t>指标</w:t>
      </w:r>
      <w:r>
        <w:rPr>
          <w:rFonts w:ascii="Times New Roman" w:eastAsia="方正仿宋_GBK" w:cs="Times New Roman"/>
          <w:color w:val="000000" w:themeColor="text1"/>
          <w:sz w:val="32"/>
          <w:szCs w:val="32"/>
        </w:rPr>
        <w:t>Ⅲ</w:t>
      </w:r>
      <w:r>
        <w:rPr>
          <w:rFonts w:ascii="Times New Roman" w:hAnsi="Times New Roman" w:eastAsia="方正仿宋_GBK" w:cs="Times New Roman"/>
          <w:color w:val="000000" w:themeColor="text1"/>
          <w:sz w:val="32"/>
          <w:szCs w:val="32"/>
        </w:rPr>
        <w:t>-32</w:t>
      </w:r>
      <w:r>
        <w:rPr>
          <w:rFonts w:hint="eastAsia" w:ascii="Times New Roman" w:hAnsi="Times New Roman" w:eastAsia="方正仿宋_GBK" w:cs="Times New Roman"/>
          <w:color w:val="000000" w:themeColor="text1"/>
          <w:sz w:val="32"/>
          <w:szCs w:val="32"/>
        </w:rPr>
        <w:t>诚信奖惩制度</w:t>
      </w:r>
      <w:r>
        <w:rPr>
          <w:rFonts w:hint="eastAsia" w:ascii="Times New Roman" w:eastAsia="方正仿宋_GBK" w:cs="Times New Roman"/>
          <w:color w:val="000000" w:themeColor="text1"/>
          <w:sz w:val="32"/>
          <w:szCs w:val="32"/>
        </w:rPr>
        <w:t>规定，</w:t>
      </w:r>
      <w:r>
        <w:rPr>
          <w:rFonts w:ascii="Times New Roman" w:eastAsia="方正仿宋_GBK" w:cs="Times New Roman"/>
          <w:color w:val="000000" w:themeColor="text1"/>
          <w:sz w:val="32"/>
          <w:szCs w:val="32"/>
        </w:rPr>
        <w:t>坚持诚信红黑榜发布制度，加</w:t>
      </w:r>
      <w:r>
        <w:rPr>
          <w:rFonts w:hint="eastAsia" w:eastAsia="方正仿宋_GBK" w:cs="仿宋_GB2312"/>
          <w:color w:val="000000" w:themeColor="text1"/>
          <w:sz w:val="32"/>
          <w:szCs w:val="32"/>
        </w:rPr>
        <w:t>强对守信行为的褒扬和鼓励、对失信行为的曝光和惩治，建立健全守信联合激励和失信联合惩戒的联动机制。我办收集汇总了</w:t>
      </w:r>
      <w:r>
        <w:rPr>
          <w:rFonts w:hint="eastAsia" w:eastAsia="方正仿宋_GBK"/>
          <w:color w:val="000000" w:themeColor="text1"/>
          <w:sz w:val="32"/>
          <w:szCs w:val="32"/>
        </w:rPr>
        <w:t>区生态环境局、区住房城乡建委、区应急局、区税务局、区市场监管局等部门诚信建设名单，形成了《渝北区</w:t>
      </w:r>
      <w:r>
        <w:rPr>
          <w:rFonts w:hint="eastAsia" w:ascii="Times New Roman" w:hAnsi="Times New Roman" w:eastAsia="方正仿宋_GBK" w:cs="Times New Roman"/>
          <w:color w:val="000000" w:themeColor="text1"/>
          <w:sz w:val="32"/>
          <w:szCs w:val="32"/>
        </w:rPr>
        <w:t>2020</w:t>
      </w:r>
      <w:r>
        <w:rPr>
          <w:rFonts w:hint="eastAsia" w:eastAsia="方正仿宋_GBK"/>
          <w:color w:val="000000" w:themeColor="text1"/>
          <w:sz w:val="32"/>
          <w:szCs w:val="32"/>
        </w:rPr>
        <w:t>年第四季度诚信建设“红黑榜”名单》，现印发给你们，</w:t>
      </w:r>
      <w:r>
        <w:rPr>
          <w:rFonts w:hint="eastAsia" w:ascii="Times New Roman" w:hAnsi="Times New Roman" w:eastAsia="方正仿宋_GBK" w:cs="Times New Roman"/>
          <w:color w:val="000000" w:themeColor="text1"/>
          <w:sz w:val="32"/>
          <w:szCs w:val="32"/>
        </w:rPr>
        <w:t>请各相关单位按照规定进行公示。</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rPr>
        <w:t>黄强，电话：67588023</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附件：渝北区2020年第四季度诚信建设“红黑榜”名单</w:t>
      </w:r>
    </w:p>
    <w:p>
      <w:pPr>
        <w:adjustRightInd w:val="0"/>
        <w:snapToGrid w:val="0"/>
        <w:spacing w:line="60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重庆市渝北区精神文明办公室</w:t>
      </w:r>
    </w:p>
    <w:p>
      <w:pPr>
        <w:adjustRightInd w:val="0"/>
        <w:snapToGrid w:val="0"/>
        <w:spacing w:line="600" w:lineRule="exact"/>
        <w:ind w:firstLine="640" w:firstLineChars="200"/>
        <w:jc w:val="center"/>
        <w:rPr>
          <w:rFonts w:ascii="Times New Roman" w:hAnsi="Times New Roman" w:eastAsia="方正仿宋_GBK" w:cs="Times New Roman"/>
          <w:sz w:val="32"/>
          <w:szCs w:val="32"/>
        </w:rPr>
        <w:sectPr>
          <w:pgSz w:w="11906" w:h="16838"/>
          <w:pgMar w:top="2098" w:right="1474" w:bottom="1985" w:left="1588" w:header="851" w:footer="992" w:gutter="0"/>
          <w:cols w:space="425" w:num="1"/>
          <w:docGrid w:type="lines" w:linePitch="312" w:charSpace="0"/>
        </w:sect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2021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 xml:space="preserve">1 </w:t>
      </w:r>
      <w:bookmarkStart w:id="0" w:name="_GoBack"/>
      <w:bookmarkEnd w:id="0"/>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26日</w:t>
      </w:r>
    </w:p>
    <w:p>
      <w:pPr>
        <w:adjustRightInd w:val="0"/>
        <w:snapToGrid w:val="0"/>
        <w:spacing w:line="560" w:lineRule="exact"/>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p>
    <w:p>
      <w:pPr>
        <w:adjustRightInd w:val="0"/>
        <w:snapToGrid w:val="0"/>
        <w:spacing w:line="560" w:lineRule="exact"/>
        <w:jc w:val="center"/>
        <w:rPr>
          <w:rFonts w:ascii="方正黑体_GBK" w:hAnsi="Times New Roman" w:eastAsia="方正黑体_GBK" w:cs="Times New Roman"/>
          <w:sz w:val="32"/>
          <w:szCs w:val="32"/>
        </w:rPr>
      </w:pPr>
      <w:r>
        <w:rPr>
          <w:rFonts w:hint="eastAsia" w:ascii="方正小标宋_GBK" w:eastAsia="方正小标宋_GBK"/>
          <w:snapToGrid w:val="0"/>
          <w:color w:val="000000"/>
          <w:kern w:val="0"/>
          <w:sz w:val="44"/>
          <w:szCs w:val="44"/>
        </w:rPr>
        <w:t>渝北区2020年第四季度诚信建设“红黑榜”名单</w:t>
      </w:r>
    </w:p>
    <w:p>
      <w:pPr>
        <w:adjustRightInd w:val="0"/>
        <w:snapToGrid w:val="0"/>
        <w:jc w:val="center"/>
        <w:rPr>
          <w:rFonts w:ascii="方正楷体_GBK" w:eastAsia="方正楷体_GBK"/>
          <w:snapToGrid w:val="0"/>
          <w:color w:val="000000"/>
          <w:kern w:val="0"/>
          <w:sz w:val="32"/>
          <w:szCs w:val="32"/>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992"/>
        <w:gridCol w:w="2410"/>
        <w:gridCol w:w="2693"/>
        <w:gridCol w:w="439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93" w:type="dxa"/>
            <w:vAlign w:val="center"/>
          </w:tcPr>
          <w:p>
            <w:pPr>
              <w:adjustRightInd w:val="0"/>
              <w:snapToGrid w:val="0"/>
              <w:spacing w:line="560" w:lineRule="exact"/>
              <w:jc w:val="center"/>
              <w:rPr>
                <w:rFonts w:ascii="方正黑体_GBK" w:eastAsia="方正黑体_GBK"/>
                <w:snapToGrid w:val="0"/>
                <w:color w:val="000000"/>
                <w:kern w:val="0"/>
                <w:sz w:val="32"/>
                <w:szCs w:val="32"/>
              </w:rPr>
            </w:pPr>
            <w:r>
              <w:rPr>
                <w:rFonts w:hint="eastAsia" w:ascii="方正黑体_GBK" w:eastAsia="方正黑体_GBK"/>
                <w:snapToGrid w:val="0"/>
                <w:color w:val="000000"/>
                <w:kern w:val="0"/>
                <w:sz w:val="32"/>
                <w:szCs w:val="32"/>
              </w:rPr>
              <w:t>序号</w:t>
            </w:r>
          </w:p>
        </w:tc>
        <w:tc>
          <w:tcPr>
            <w:tcW w:w="992" w:type="dxa"/>
            <w:vAlign w:val="center"/>
          </w:tcPr>
          <w:p>
            <w:pPr>
              <w:adjustRightInd w:val="0"/>
              <w:snapToGrid w:val="0"/>
              <w:spacing w:line="560" w:lineRule="exact"/>
              <w:jc w:val="center"/>
              <w:rPr>
                <w:rFonts w:ascii="方正黑体_GBK" w:eastAsia="方正黑体_GBK"/>
                <w:snapToGrid w:val="0"/>
                <w:color w:val="000000"/>
                <w:kern w:val="0"/>
                <w:sz w:val="32"/>
                <w:szCs w:val="32"/>
              </w:rPr>
            </w:pPr>
            <w:r>
              <w:rPr>
                <w:rFonts w:hint="eastAsia" w:ascii="方正黑体_GBK" w:eastAsia="方正黑体_GBK"/>
                <w:snapToGrid w:val="0"/>
                <w:color w:val="000000"/>
                <w:kern w:val="0"/>
                <w:sz w:val="32"/>
                <w:szCs w:val="32"/>
              </w:rPr>
              <w:t>类别</w:t>
            </w:r>
          </w:p>
        </w:tc>
        <w:tc>
          <w:tcPr>
            <w:tcW w:w="2410" w:type="dxa"/>
            <w:vAlign w:val="center"/>
          </w:tcPr>
          <w:p>
            <w:pPr>
              <w:adjustRightInd w:val="0"/>
              <w:snapToGrid w:val="0"/>
              <w:spacing w:line="560" w:lineRule="exact"/>
              <w:jc w:val="center"/>
              <w:rPr>
                <w:rFonts w:ascii="方正黑体_GBK" w:eastAsia="方正黑体_GBK"/>
                <w:snapToGrid w:val="0"/>
                <w:color w:val="000000"/>
                <w:kern w:val="0"/>
                <w:sz w:val="32"/>
                <w:szCs w:val="32"/>
              </w:rPr>
            </w:pPr>
            <w:r>
              <w:rPr>
                <w:rFonts w:hint="eastAsia" w:ascii="方正黑体_GBK" w:eastAsia="方正黑体_GBK"/>
                <w:snapToGrid w:val="0"/>
                <w:color w:val="000000"/>
                <w:kern w:val="0"/>
                <w:sz w:val="32"/>
                <w:szCs w:val="32"/>
              </w:rPr>
              <w:t>企业名称</w:t>
            </w:r>
          </w:p>
        </w:tc>
        <w:tc>
          <w:tcPr>
            <w:tcW w:w="2693" w:type="dxa"/>
            <w:vAlign w:val="center"/>
          </w:tcPr>
          <w:p>
            <w:pPr>
              <w:adjustRightInd w:val="0"/>
              <w:snapToGrid w:val="0"/>
              <w:spacing w:line="560" w:lineRule="exact"/>
              <w:jc w:val="center"/>
              <w:rPr>
                <w:rFonts w:ascii="方正黑体_GBK" w:eastAsia="方正黑体_GBK"/>
                <w:snapToGrid w:val="0"/>
                <w:color w:val="000000"/>
                <w:kern w:val="0"/>
                <w:sz w:val="32"/>
                <w:szCs w:val="32"/>
              </w:rPr>
            </w:pPr>
            <w:r>
              <w:rPr>
                <w:rFonts w:hint="eastAsia" w:ascii="方正黑体_GBK" w:eastAsia="方正黑体_GBK"/>
                <w:snapToGrid w:val="0"/>
                <w:color w:val="000000"/>
                <w:kern w:val="0"/>
                <w:sz w:val="32"/>
                <w:szCs w:val="32"/>
              </w:rPr>
              <w:t>企业地址</w:t>
            </w:r>
          </w:p>
        </w:tc>
        <w:tc>
          <w:tcPr>
            <w:tcW w:w="4394" w:type="dxa"/>
            <w:vAlign w:val="center"/>
          </w:tcPr>
          <w:p>
            <w:pPr>
              <w:adjustRightInd w:val="0"/>
              <w:snapToGrid w:val="0"/>
              <w:spacing w:line="560" w:lineRule="exact"/>
              <w:jc w:val="center"/>
              <w:rPr>
                <w:rFonts w:ascii="方正黑体_GBK" w:eastAsia="方正黑体_GBK"/>
                <w:snapToGrid w:val="0"/>
                <w:color w:val="000000"/>
                <w:kern w:val="0"/>
                <w:sz w:val="32"/>
                <w:szCs w:val="32"/>
              </w:rPr>
            </w:pPr>
            <w:r>
              <w:rPr>
                <w:rFonts w:hint="eastAsia" w:ascii="方正黑体_GBK" w:eastAsia="方正黑体_GBK"/>
                <w:snapToGrid w:val="0"/>
                <w:color w:val="000000"/>
                <w:kern w:val="0"/>
                <w:sz w:val="32"/>
                <w:szCs w:val="32"/>
              </w:rPr>
              <w:t>上榜原因</w:t>
            </w:r>
          </w:p>
        </w:tc>
        <w:tc>
          <w:tcPr>
            <w:tcW w:w="1559" w:type="dxa"/>
          </w:tcPr>
          <w:p>
            <w:pPr>
              <w:adjustRightInd w:val="0"/>
              <w:snapToGrid w:val="0"/>
              <w:spacing w:line="560" w:lineRule="exact"/>
              <w:jc w:val="center"/>
            </w:pPr>
            <w:r>
              <w:rPr>
                <w:rFonts w:hint="eastAsia" w:ascii="方正黑体_GBK" w:eastAsia="方正黑体_GBK"/>
                <w:snapToGrid w:val="0"/>
                <w:color w:val="000000"/>
                <w:kern w:val="0"/>
                <w:sz w:val="32"/>
                <w:szCs w:val="32"/>
              </w:rPr>
              <w:t>名单来源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1</w:t>
            </w:r>
          </w:p>
        </w:tc>
        <w:tc>
          <w:tcPr>
            <w:tcW w:w="992"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红榜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帅翼弛铝合金新材料（重庆）有限公司</w:t>
            </w:r>
          </w:p>
        </w:tc>
        <w:tc>
          <w:tcPr>
            <w:tcW w:w="2693" w:type="dxa"/>
            <w:vAlign w:val="center"/>
          </w:tcPr>
          <w:p>
            <w:pPr>
              <w:spacing w:line="56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重庆市渝北区兴隆镇徐堡村4组厂房</w:t>
            </w:r>
          </w:p>
        </w:tc>
        <w:tc>
          <w:tcPr>
            <w:tcW w:w="4394" w:type="dxa"/>
            <w:vAlign w:val="center"/>
          </w:tcPr>
          <w:p>
            <w:pPr>
              <w:snapToGrid w:val="0"/>
              <w:spacing w:line="56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该单位积极节能减排，环境信用评价被评为诚信企业</w:t>
            </w:r>
          </w:p>
        </w:tc>
        <w:tc>
          <w:tcPr>
            <w:tcW w:w="1559" w:type="dxa"/>
            <w:vAlign w:val="center"/>
          </w:tcPr>
          <w:p>
            <w:pPr>
              <w:spacing w:line="580" w:lineRule="exact"/>
              <w:jc w:val="center"/>
              <w:rPr>
                <w:rFonts w:ascii="方正仿宋_GBK" w:hAnsi="方正楷体_GBK" w:eastAsia="方正仿宋_GBK" w:cs="方正楷体_GBK"/>
                <w:sz w:val="28"/>
                <w:szCs w:val="28"/>
              </w:rPr>
            </w:pPr>
            <w:r>
              <w:rPr>
                <w:rFonts w:hint="eastAsia" w:ascii="方正仿宋_GBK" w:hAnsi="方正楷体_GBK" w:eastAsia="方正仿宋_GBK" w:cs="方正楷体_GBK"/>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2</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重庆创设建筑工程有限公司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重庆市渝北区回兴街道服装城大道83号2号厂房4-1</w:t>
            </w:r>
          </w:p>
        </w:tc>
        <w:tc>
          <w:tcPr>
            <w:tcW w:w="4394" w:type="dxa"/>
            <w:vAlign w:val="center"/>
          </w:tcPr>
          <w:p>
            <w:pPr>
              <w:snapToGrid w:val="0"/>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 xml:space="preserve">区住房城乡建委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业兴实业集团有限公司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重庆市市辖区九龙坡区石杨路17号22-4-3</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4</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重庆华夏建工（集团）有限公司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重庆市渝北区龙溪镇新南路9号碧海金都11楼</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5</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重庆悦能建筑工程有限公司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渝北区新牌坊美源国际25-1</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6</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重庆万泰建设（集团）有限公司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重庆市大渡口区九宫庙金色世纪白金宫B幢二层</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7</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重庆巨能建设（集团）有限公司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回兴服装城大道2号</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8</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重庆海博建设有限公司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渝北区龙溪街道红锦大道25号</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9</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重庆市御临建筑工程有限公司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重庆市渝北区双龙湖街道双龙东路108号附1号御临小苑</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10</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重庆市实力公路开发有限公司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重庆市渝北区红金街2号索特大厦1幢3-办公</w:t>
            </w:r>
          </w:p>
          <w:p>
            <w:pPr>
              <w:rPr>
                <w:rFonts w:ascii="Times New Roman" w:hAnsi="方正仿宋_GBK" w:eastAsia="方正仿宋_GBK" w:cs="Times New Roman"/>
                <w:color w:val="000000" w:themeColor="text1"/>
                <w:sz w:val="28"/>
                <w:szCs w:val="28"/>
              </w:rPr>
            </w:pP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ascii="Times New Roman" w:hAnsi="Times New Roman" w:eastAsia="方正仿宋_GBK" w:cs="Times New Roman"/>
                <w:color w:val="000000" w:themeColor="text1"/>
                <w:kern w:val="0"/>
                <w:sz w:val="28"/>
                <w:szCs w:val="28"/>
              </w:rPr>
              <w:t>1</w:t>
            </w:r>
            <w:r>
              <w:rPr>
                <w:rFonts w:hint="eastAsia" w:ascii="Times New Roman" w:hAnsi="Times New Roman" w:eastAsia="方正仿宋_GBK" w:cs="Times New Roman"/>
                <w:color w:val="000000" w:themeColor="text1"/>
                <w:kern w:val="0"/>
                <w:sz w:val="28"/>
                <w:szCs w:val="28"/>
              </w:rPr>
              <w:t>1</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ascii="Times New Roman" w:hAnsi="方正仿宋_GBK" w:eastAsia="方正仿宋_GBK" w:cs="Times New Roman"/>
                <w:color w:val="000000" w:themeColor="text1"/>
                <w:sz w:val="28"/>
                <w:szCs w:val="28"/>
              </w:rPr>
              <w:t>红</w:t>
            </w:r>
            <w:r>
              <w:rPr>
                <w:rFonts w:hint="eastAsia" w:ascii="Times New Roman" w:hAnsi="方正仿宋_GBK" w:eastAsia="方正仿宋_GBK" w:cs="Times New Roman"/>
                <w:color w:val="000000" w:themeColor="text1"/>
                <w:sz w:val="28"/>
                <w:szCs w:val="28"/>
              </w:rPr>
              <w:t>榜</w:t>
            </w:r>
          </w:p>
        </w:tc>
        <w:tc>
          <w:tcPr>
            <w:tcW w:w="2410"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重庆三峡城市建筑工程有限公</w:t>
            </w:r>
            <w:r>
              <w:rPr>
                <w:rFonts w:hint="eastAsia" w:ascii="Times New Roman" w:hAnsi="方正仿宋_GBK" w:eastAsia="方正仿宋_GBK" w:cs="Times New Roman"/>
                <w:color w:val="000000" w:themeColor="text1"/>
                <w:sz w:val="28"/>
                <w:szCs w:val="28"/>
              </w:rPr>
              <w:t>司</w:t>
            </w:r>
          </w:p>
        </w:tc>
        <w:tc>
          <w:tcPr>
            <w:tcW w:w="2693"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重庆市渝北区龙裕街29-11号</w:t>
            </w:r>
          </w:p>
        </w:tc>
        <w:tc>
          <w:tcPr>
            <w:tcW w:w="4394" w:type="dxa"/>
            <w:vAlign w:val="center"/>
          </w:tcPr>
          <w:p>
            <w:pPr>
              <w:spacing w:line="56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sz w:val="28"/>
                <w:szCs w:val="28"/>
              </w:rPr>
              <w:t>重庆市渝北区建筑业10强</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ascii="Times New Roman" w:hAnsi="Times New Roman" w:eastAsia="方正仿宋_GBK" w:cs="Times New Roman"/>
                <w:color w:val="000000" w:themeColor="text1"/>
                <w:kern w:val="0"/>
                <w:sz w:val="28"/>
                <w:szCs w:val="28"/>
              </w:rPr>
              <w:t>1</w:t>
            </w:r>
            <w:r>
              <w:rPr>
                <w:rFonts w:hint="eastAsia" w:ascii="Times New Roman" w:hAnsi="Times New Roman" w:eastAsia="方正仿宋_GBK" w:cs="Times New Roman"/>
                <w:color w:val="000000" w:themeColor="text1"/>
                <w:kern w:val="0"/>
                <w:sz w:val="28"/>
                <w:szCs w:val="28"/>
              </w:rPr>
              <w:t>2</w:t>
            </w:r>
          </w:p>
        </w:tc>
        <w:tc>
          <w:tcPr>
            <w:tcW w:w="992" w:type="dxa"/>
            <w:vAlign w:val="center"/>
          </w:tcPr>
          <w:p>
            <w:pPr>
              <w:spacing w:line="58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红榜</w:t>
            </w:r>
          </w:p>
        </w:tc>
        <w:tc>
          <w:tcPr>
            <w:tcW w:w="2410" w:type="dxa"/>
            <w:vAlign w:val="center"/>
          </w:tcPr>
          <w:p>
            <w:pPr>
              <w:spacing w:line="58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重庆</w:t>
            </w:r>
            <w:r>
              <w:rPr>
                <w:rFonts w:ascii="Times New Roman" w:hAnsi="方正仿宋_GBK" w:eastAsia="方正仿宋_GBK" w:cs="Times New Roman"/>
                <w:color w:val="000000" w:themeColor="text1"/>
                <w:sz w:val="28"/>
                <w:szCs w:val="28"/>
              </w:rPr>
              <w:t>根源农业有限公司</w:t>
            </w:r>
          </w:p>
        </w:tc>
        <w:tc>
          <w:tcPr>
            <w:tcW w:w="2693" w:type="dxa"/>
            <w:vAlign w:val="center"/>
          </w:tcPr>
          <w:p>
            <w:pPr>
              <w:spacing w:line="58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茨竹</w:t>
            </w:r>
            <w:r>
              <w:rPr>
                <w:rFonts w:ascii="Times New Roman" w:hAnsi="方正仿宋_GBK" w:eastAsia="方正仿宋_GBK" w:cs="Times New Roman"/>
                <w:color w:val="000000" w:themeColor="text1"/>
                <w:sz w:val="28"/>
                <w:szCs w:val="28"/>
              </w:rPr>
              <w:t>镇大面坡村</w:t>
            </w:r>
          </w:p>
        </w:tc>
        <w:tc>
          <w:tcPr>
            <w:tcW w:w="4394" w:type="dxa"/>
            <w:vAlign w:val="center"/>
          </w:tcPr>
          <w:p>
            <w:pPr>
              <w:spacing w:line="580" w:lineRule="exact"/>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荣获2020年</w:t>
            </w:r>
            <w:r>
              <w:rPr>
                <w:rFonts w:ascii="Times New Roman" w:hAnsi="方正仿宋_GBK" w:eastAsia="方正仿宋_GBK" w:cs="Times New Roman"/>
                <w:color w:val="000000" w:themeColor="text1"/>
                <w:sz w:val="28"/>
                <w:szCs w:val="28"/>
              </w:rPr>
              <w:t>渝北区优秀民营企业</w:t>
            </w:r>
            <w:r>
              <w:rPr>
                <w:rFonts w:hint="eastAsia" w:ascii="Times New Roman" w:hAnsi="方正仿宋_GBK" w:eastAsia="方正仿宋_GBK" w:cs="Times New Roman"/>
                <w:color w:val="000000" w:themeColor="text1"/>
                <w:sz w:val="28"/>
                <w:szCs w:val="28"/>
              </w:rPr>
              <w:t>（渝北</w:t>
            </w:r>
            <w:r>
              <w:rPr>
                <w:rFonts w:ascii="Times New Roman" w:hAnsi="方正仿宋_GBK" w:eastAsia="方正仿宋_GBK" w:cs="Times New Roman"/>
                <w:color w:val="000000" w:themeColor="text1"/>
                <w:sz w:val="28"/>
                <w:szCs w:val="28"/>
              </w:rPr>
              <w:t>委</w:t>
            </w:r>
            <w:r>
              <w:rPr>
                <w:rFonts w:hint="eastAsia" w:ascii="Times New Roman" w:hAnsi="方正仿宋_GBK" w:eastAsia="方正仿宋_GBK" w:cs="Times New Roman"/>
                <w:color w:val="000000" w:themeColor="text1"/>
                <w:sz w:val="28"/>
                <w:szCs w:val="28"/>
              </w:rPr>
              <w:t>发[2020]12号）</w:t>
            </w:r>
          </w:p>
        </w:tc>
        <w:tc>
          <w:tcPr>
            <w:tcW w:w="1559" w:type="dxa"/>
            <w:vAlign w:val="center"/>
          </w:tcPr>
          <w:p>
            <w:pPr>
              <w:spacing w:line="560" w:lineRule="exact"/>
              <w:jc w:val="center"/>
              <w:rPr>
                <w:rFonts w:ascii="Times New Roman" w:hAnsi="方正仿宋_GBK" w:eastAsia="方正仿宋_GBK" w:cs="Times New Roman"/>
                <w:color w:val="000000" w:themeColor="text1"/>
                <w:sz w:val="28"/>
                <w:szCs w:val="28"/>
              </w:rPr>
            </w:pPr>
            <w:r>
              <w:rPr>
                <w:rFonts w:hint="eastAsia" w:ascii="Times New Roman" w:hAnsi="方正仿宋_GBK" w:eastAsia="方正仿宋_GBK" w:cs="Times New Roman"/>
                <w:color w:val="000000" w:themeColor="text1"/>
                <w:sz w:val="28"/>
                <w:szCs w:val="28"/>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ascii="Times New Roman" w:hAnsi="Times New Roman" w:eastAsia="方正仿宋_GBK" w:cs="Times New Roman"/>
                <w:color w:val="000000" w:themeColor="text1"/>
                <w:kern w:val="0"/>
                <w:sz w:val="28"/>
                <w:szCs w:val="28"/>
              </w:rPr>
              <w:t>1</w:t>
            </w:r>
            <w:r>
              <w:rPr>
                <w:rFonts w:hint="eastAsia" w:ascii="Times New Roman" w:hAnsi="Times New Roman" w:eastAsia="方正仿宋_GBK" w:cs="Times New Roman"/>
                <w:color w:val="000000" w:themeColor="text1"/>
                <w:kern w:val="0"/>
                <w:sz w:val="28"/>
                <w:szCs w:val="28"/>
              </w:rPr>
              <w:t>3</w:t>
            </w:r>
          </w:p>
        </w:tc>
        <w:tc>
          <w:tcPr>
            <w:tcW w:w="992"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重庆航空有限责任公司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渝北区双凤桥街道江北机场内</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14</w:t>
            </w:r>
          </w:p>
        </w:tc>
        <w:tc>
          <w:tcPr>
            <w:tcW w:w="992"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重庆三峡环保（集团）有限公司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重庆市渝北区龙山大道111号</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15</w:t>
            </w:r>
          </w:p>
        </w:tc>
        <w:tc>
          <w:tcPr>
            <w:tcW w:w="992"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重庆展华会计师事务所有限公司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重庆市渝北区新溉大道101号-中渝香奈公馆7栋9-办公1.21</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16</w:t>
            </w:r>
          </w:p>
        </w:tc>
        <w:tc>
          <w:tcPr>
            <w:tcW w:w="992" w:type="dxa"/>
            <w:vAlign w:val="center"/>
          </w:tcPr>
          <w:p>
            <w:pPr>
              <w:spacing w:line="580" w:lineRule="exact"/>
              <w:jc w:val="center"/>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龙湖物业服务集团有限公司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重庆市渝北区龙溪街道新南路6号龙湖花园1-2</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17</w:t>
            </w:r>
          </w:p>
        </w:tc>
        <w:tc>
          <w:tcPr>
            <w:tcW w:w="992"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中铁四局集团有限公司重庆分公司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重庆市渝北区回兴街道服装城大道48号附2号国际家纺城8幢20-1</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18</w:t>
            </w:r>
          </w:p>
        </w:tc>
        <w:tc>
          <w:tcPr>
            <w:tcW w:w="992"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重庆高速文化传媒股份有限公司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重庆市渝北区龙山街道龙脊路248号附6号3-2</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19</w:t>
            </w:r>
          </w:p>
        </w:tc>
        <w:tc>
          <w:tcPr>
            <w:tcW w:w="992"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重庆市水利公司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重庆市渝北区龙溪街道花卉园西一路10号黄金堡·芷苑1幢3-9-1</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20</w:t>
            </w:r>
          </w:p>
        </w:tc>
        <w:tc>
          <w:tcPr>
            <w:tcW w:w="992"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红榜</w:t>
            </w:r>
          </w:p>
        </w:tc>
        <w:tc>
          <w:tcPr>
            <w:tcW w:w="2410"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重庆长安工业（集团）有限责任公司</w:t>
            </w:r>
          </w:p>
        </w:tc>
        <w:tc>
          <w:tcPr>
            <w:tcW w:w="2693"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重庆市渝北区空港大道599号</w:t>
            </w:r>
          </w:p>
        </w:tc>
        <w:tc>
          <w:tcPr>
            <w:tcW w:w="4394"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21</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红榜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重庆市风景园林规划研究院</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重庆市渝北区松桥路24号</w:t>
            </w:r>
          </w:p>
        </w:tc>
        <w:tc>
          <w:tcPr>
            <w:tcW w:w="4394"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22</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红榜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重庆长江轮船有限公司</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重庆市渝北区龙溪街道花卉园东路4幢1-2-2</w:t>
            </w:r>
          </w:p>
        </w:tc>
        <w:tc>
          <w:tcPr>
            <w:tcW w:w="4394"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在金税三期系统中被评为2019年纳税信用等级A级</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23</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周习金</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重庆市渝北区大湾镇三沟村</w:t>
            </w:r>
          </w:p>
        </w:tc>
        <w:tc>
          <w:tcPr>
            <w:tcW w:w="4394"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2020年12月3日，渝北区环境执法人员对周习金在重庆市渝北区大湾镇三沟村经营的搅拌站、碎石厂进行现场检查，发现场地内堆存的砂石等易产生扬尘的物料均未采取有效覆盖措施防治扬尘污染，违反了环保法律法规。2020年12月29日渝北区生态环境保护综合行政执法支队对其发出了（渝北环执罚（2020）52号）行政处罚，并罚款人民币1万元。并责令其整改。</w:t>
            </w:r>
          </w:p>
        </w:tc>
        <w:tc>
          <w:tcPr>
            <w:tcW w:w="1559" w:type="dxa"/>
            <w:vAlign w:val="center"/>
          </w:tcPr>
          <w:p>
            <w:pPr>
              <w:spacing w:line="56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24</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重庆吉欣优商贸有限公司</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重庆市渝北区回兴街道康晖路1号附12号南方玫瑰城创业园商业幢1-6</w:t>
            </w:r>
          </w:p>
        </w:tc>
        <w:tc>
          <w:tcPr>
            <w:tcW w:w="4394" w:type="dxa"/>
            <w:vAlign w:val="center"/>
          </w:tcPr>
          <w:p>
            <w:pPr>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渝税二稽罚〔2019〕100125号；处罚日期：2019年11月14日;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：虚开增值税普通发票;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该企业在2018年07月23日至2018年11月30日期间，对外虚开普通发票50份，票面额累计43.77万元。按《中华人民共和国税收征收管理法》相关规定，对该企业的违法行为处以50万元罚款，并依法移送公安机关。</w:t>
            </w:r>
          </w:p>
        </w:tc>
        <w:tc>
          <w:tcPr>
            <w:tcW w:w="1559" w:type="dxa"/>
            <w:vAlign w:val="center"/>
          </w:tcPr>
          <w:p>
            <w:pPr>
              <w:spacing w:line="56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25</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重庆粉格企业管理咨询有限公司</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重庆市渝北区双凤桥街道双凤支路188号（金易·星辰）1幢附3号</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渝税二稽罚〔2019〕100141号；处罚日期：2019年12月2日；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：虚开增值税普通发票;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该企业在2018年07月13日至2018年11月30日期间，对外虚开普通发票163份，票面额累计1147.01万元。按《中华人民共和国税收征收管理法》相关规定，对该企业的违法行为处以50万元罚款，并依法移送公安机关。</w:t>
            </w:r>
          </w:p>
        </w:tc>
        <w:tc>
          <w:tcPr>
            <w:tcW w:w="1559" w:type="dxa"/>
            <w:vAlign w:val="center"/>
          </w:tcPr>
          <w:p>
            <w:pPr>
              <w:spacing w:line="56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26</w:t>
            </w:r>
          </w:p>
        </w:tc>
        <w:tc>
          <w:tcPr>
            <w:tcW w:w="992"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重庆壹思壹创物资有限公司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重庆市渝北区回兴街道宝圣大道461号</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渝税二稽罚〔2019〕100146号；处罚日期：2019年12月13日；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2016年01月01日至2017年07月31日期间，主要存在以下问题:一、非法取得增值税进项发票7份,金额512.56万元，税额87.14万元；二、对外虚开增值税销项发票75份,金额748.34万元，税额127.22万元。按《中华人民共和国税收征收管理法》相关规定，对该企业处以追缴税款47.39万元的行政处理、处以罚款50.00万元的行政处罚，并依法移送公安机关。</w:t>
            </w:r>
          </w:p>
        </w:tc>
        <w:tc>
          <w:tcPr>
            <w:tcW w:w="1559" w:type="dxa"/>
            <w:vAlign w:val="center"/>
          </w:tcPr>
          <w:p>
            <w:pPr>
              <w:spacing w:line="56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27</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重庆宸越科技有限公司</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重庆市渝北区空港工业园区60号地块</w:t>
            </w:r>
          </w:p>
        </w:tc>
        <w:tc>
          <w:tcPr>
            <w:tcW w:w="4394" w:type="dxa"/>
            <w:vAlign w:val="center"/>
          </w:tcPr>
          <w:p>
            <w:pPr>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渝税二稽罚〔2019〕100043号；处罚日期：2019年6月19日；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2016年01月01日至2016年12月31日期间，非法取得增值税进项发票2份,金额20.00万元，税额3.40万元。按《中华人民共和国税收征收管理法》相关规定，对该企业处以追缴税款3.63万元的行政处理、处以罚款5.00万元的行政处罚，并依法移送公安机关。</w:t>
            </w:r>
          </w:p>
        </w:tc>
        <w:tc>
          <w:tcPr>
            <w:tcW w:w="1559" w:type="dxa"/>
            <w:vAlign w:val="center"/>
          </w:tcPr>
          <w:p>
            <w:pPr>
              <w:spacing w:line="56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28</w:t>
            </w:r>
          </w:p>
        </w:tc>
        <w:tc>
          <w:tcPr>
            <w:tcW w:w="992" w:type="dxa"/>
            <w:vAlign w:val="center"/>
          </w:tcPr>
          <w:p>
            <w:pPr>
              <w:spacing w:line="580" w:lineRule="exact"/>
              <w:jc w:val="center"/>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重庆若辅广告有限公司</w:t>
            </w:r>
          </w:p>
        </w:tc>
        <w:tc>
          <w:tcPr>
            <w:tcW w:w="2693" w:type="dxa"/>
            <w:vAlign w:val="center"/>
          </w:tcPr>
          <w:p>
            <w:pPr>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重庆市渝北区双凤桥街道空港大道310号和顺苑1幢1-3</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渝税二稽罚〔2020〕10号；处罚日期：2020年1月6日；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：虚开增值税普通发票;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2018年06月01日至2018年10月31日期间，对外虚开普通发票247份，票面额累计1677.59万元。按《中华人民共和国税收征收管理法》相关规定，对该企业处以追缴税款10.58万元的行政处理、处以罚款50.00万元的行政处罚，并依法移送公安机关。</w:t>
            </w:r>
          </w:p>
        </w:tc>
        <w:tc>
          <w:tcPr>
            <w:tcW w:w="1559" w:type="dxa"/>
            <w:vAlign w:val="center"/>
          </w:tcPr>
          <w:p>
            <w:pPr>
              <w:spacing w:line="56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29</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重庆南瑟雨商贸有限公司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重庆市渝北区回兴街道宝石路14号枫桥水郡16、17幢-1-门面1</w:t>
            </w:r>
          </w:p>
        </w:tc>
        <w:tc>
          <w:tcPr>
            <w:tcW w:w="4394" w:type="dxa"/>
            <w:vAlign w:val="center"/>
          </w:tcPr>
          <w:p>
            <w:pPr>
              <w:widowControl/>
              <w:snapToGrid w:val="0"/>
              <w:spacing w:line="580" w:lineRule="exact"/>
              <w:jc w:val="lef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渝税二稽罚〔2019〕100150号；处罚日期：2020年1月8日；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：虚开增值税普通发票;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2018年07月01日至2018年11月27日期间，对外虚开普通发票310份，票面额累计1100.34万元。按《中华人民共和国税收征收管理法》相关规定，对该企业处以追缴税款34.14万元的行政处理、处以罚款50.00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30</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重庆沃普圣商贸有限公司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重庆市渝北区龙溪街道龙华大道1889号百合园裙楼幢-1至3层</w:t>
            </w:r>
          </w:p>
        </w:tc>
        <w:tc>
          <w:tcPr>
            <w:tcW w:w="4394" w:type="dxa"/>
            <w:vAlign w:val="center"/>
          </w:tcPr>
          <w:p>
            <w:pPr>
              <w:widowControl/>
              <w:snapToGrid w:val="0"/>
              <w:spacing w:line="580" w:lineRule="exact"/>
              <w:jc w:val="lef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渝税二稽罚〔2019〕100160号；处罚日期：2020年1月15日；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2016年01月01日至2016年12月31日期间，主要存在以下问题:一、非法取得增值税进项发票5份,金额57.70万元，税额8.38万元；二、对外虚开增值税销项发票5份,金额57.96万元，税额8.42万元。按《中华人民共和国税收征收管理法》相关规定，对该企业处以追缴税款17.98万元的行政处理、处以罚款50.00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31</w:t>
            </w:r>
          </w:p>
        </w:tc>
        <w:tc>
          <w:tcPr>
            <w:tcW w:w="992"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重庆宇甲科技有限公司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重庆市渝北区双龙湖街道祥和路10号1幢</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渝税二稽罚〔2019〕100112号；处罚日期：2019年10月22日；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2015年01月01日至2015年12月31日期间，非法取得增值税进项发票22份,金额213.68万元，税额32.32万元。按《中华人民共和国税收征收管理法》相关规定，对该企业处以追缴税款67.84万元的行政处理、处以罚款38.87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32</w:t>
            </w:r>
          </w:p>
        </w:tc>
        <w:tc>
          <w:tcPr>
            <w:tcW w:w="992"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重庆极垠强商贸有限公司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重庆市渝北区回兴街道兰馨大道2号模具产业园A区3幢1</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渝税二稽罚〔2019〕100133号；处罚日期：2019年12月18日；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2016年11月15日至2016年12月31日期间，主要存在以下问题:一、非法取得增值税进项发票40份,金额389.63万元，税额66.24万元；二、对外虚开增值税销项发票40份,金额390.58万元，税额66.40万元。按《中华人民共和国税收征收管理法》相关规定，对该企业处以罚款50.00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33</w:t>
            </w:r>
          </w:p>
        </w:tc>
        <w:tc>
          <w:tcPr>
            <w:tcW w:w="992"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重庆韬吉装饰材料有限公司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重庆市渝北区龙塔街道龙越路19号附19号绿色空间1幢1-1-3</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渝税二稽罚〔2019〕100159号；处罚日期：2019年12月9日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：虚开增值税普通发票;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该企业在2018年07月23日至2018年11月30日期间，对外虚开普通发票151份，票面额累计1367.74万元。按《中华人民共和国税收征收管理法》相关规定，对该企业处以罚款50.00万元的行政处罚,并依法移送公安机关。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34</w:t>
            </w:r>
          </w:p>
        </w:tc>
        <w:tc>
          <w:tcPr>
            <w:tcW w:w="992"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重庆高福物资有限公司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重庆市渝北区回兴街道兰馨大道2号模具产业园A区21幢10</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渝税二稽罚〔2019〕100014号；处罚日期：2019年4月9日；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2016年01月01日至2016年12月31日期间，非法取得增值税进项发票3份,金额17.53万元，税额2.98万元。按《中华人民共和国税收征收管理法》相关规定，对该企业处以追缴税款5.09万元的行政处理、处以罚款5.00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35</w:t>
            </w:r>
          </w:p>
        </w:tc>
        <w:tc>
          <w:tcPr>
            <w:tcW w:w="992"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黑榜</w:t>
            </w:r>
          </w:p>
        </w:tc>
        <w:tc>
          <w:tcPr>
            <w:tcW w:w="2410"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重庆达腾科技发展有限公司</w:t>
            </w:r>
          </w:p>
        </w:tc>
        <w:tc>
          <w:tcPr>
            <w:tcW w:w="2693" w:type="dxa"/>
            <w:vAlign w:val="center"/>
          </w:tcPr>
          <w:p>
            <w:pPr>
              <w:snapToGrid w:val="0"/>
              <w:spacing w:line="580" w:lineRule="exact"/>
              <w:rPr>
                <w:rFonts w:ascii="Times New Roman" w:hAnsi="方正仿宋_GBK" w:eastAsia="方正仿宋_GBK" w:cs="Times New Roman"/>
                <w:color w:val="000000"/>
                <w:sz w:val="28"/>
                <w:szCs w:val="28"/>
              </w:rPr>
            </w:pPr>
            <w:r>
              <w:rPr>
                <w:rFonts w:hint="eastAsia" w:ascii="Times New Roman" w:hAnsi="方正仿宋_GBK" w:eastAsia="方正仿宋_GBK" w:cs="Times New Roman"/>
                <w:color w:val="000000"/>
                <w:sz w:val="28"/>
                <w:szCs w:val="28"/>
              </w:rPr>
              <w:t>重庆市渝北区红石路239号</w:t>
            </w:r>
          </w:p>
        </w:tc>
        <w:tc>
          <w:tcPr>
            <w:tcW w:w="4394" w:type="dxa"/>
            <w:vAlign w:val="center"/>
          </w:tcPr>
          <w:p>
            <w:pPr>
              <w:snapToGrid w:val="0"/>
              <w:spacing w:line="580" w:lineRule="exact"/>
              <w:rPr>
                <w:rFonts w:ascii="Times New Roman" w:hAnsi="方正仿宋_GBK" w:eastAsia="方正仿宋_GBK" w:cs="Times New Roman"/>
                <w:color w:val="000000"/>
                <w:sz w:val="28"/>
                <w:szCs w:val="28"/>
              </w:rPr>
            </w:pPr>
            <w:r>
              <w:rPr>
                <w:rFonts w:ascii="Times New Roman" w:hAnsi="方正仿宋_GBK" w:eastAsia="方正仿宋_GBK" w:cs="Times New Roman"/>
                <w:color w:val="000000"/>
                <w:sz w:val="28"/>
                <w:szCs w:val="28"/>
              </w:rPr>
              <w:t>处罚决定书文号</w:t>
            </w:r>
            <w:r>
              <w:rPr>
                <w:rFonts w:hint="eastAsia" w:ascii="Times New Roman" w:hAnsi="方正仿宋_GBK" w:eastAsia="方正仿宋_GBK" w:cs="Times New Roman"/>
                <w:color w:val="000000"/>
                <w:sz w:val="28"/>
                <w:szCs w:val="28"/>
              </w:rPr>
              <w:t>: 渝税二稽罚〔2019〕100122号；处罚日期：2019年11月5日；</w:t>
            </w:r>
            <w:r>
              <w:rPr>
                <w:rFonts w:ascii="Times New Roman" w:hAnsi="方正仿宋_GBK" w:eastAsia="方正仿宋_GBK" w:cs="Times New Roman"/>
                <w:color w:val="000000"/>
                <w:sz w:val="28"/>
                <w:szCs w:val="28"/>
              </w:rPr>
              <w:t>违法行为类型</w:t>
            </w:r>
            <w:r>
              <w:rPr>
                <w:rFonts w:hint="eastAsia" w:ascii="Times New Roman" w:hAnsi="方正仿宋_GBK" w:eastAsia="方正仿宋_GBK" w:cs="Times New Roman"/>
                <w:color w:val="000000"/>
                <w:sz w:val="28"/>
                <w:szCs w:val="28"/>
              </w:rPr>
              <w:t>：虚开增值税专用发票或者虚开用于骗取出口退税、抵扣税款的其他发票;</w:t>
            </w:r>
            <w:r>
              <w:rPr>
                <w:rFonts w:ascii="Times New Roman" w:hAnsi="方正仿宋_GBK" w:eastAsia="方正仿宋_GBK" w:cs="Times New Roman"/>
                <w:color w:val="000000"/>
                <w:sz w:val="28"/>
                <w:szCs w:val="28"/>
              </w:rPr>
              <w:t xml:space="preserve"> 处罚内容</w:t>
            </w:r>
            <w:r>
              <w:rPr>
                <w:rFonts w:hint="eastAsia" w:ascii="Times New Roman" w:hAnsi="方正仿宋_GBK" w:eastAsia="方正仿宋_GBK" w:cs="Times New Roman"/>
                <w:color w:val="000000"/>
                <w:sz w:val="28"/>
                <w:szCs w:val="28"/>
              </w:rPr>
              <w:t>: 该企业在2016年01月01日至2016年12月31日期间，非法取得增值税进项发票5份,金额49.30万元，税额8.38万元。按《中华人民共和国税收征收管理法》相关规定，对该企业处以追缴税款3.16万元的行政处理、处以罚款5.00万元的行政处罚，并依法移送公安机关。</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kern w:val="0"/>
                <w:sz w:val="28"/>
                <w:szCs w:val="28"/>
              </w:rPr>
              <w:t>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36</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重庆德信时代影院有限公司</w:t>
            </w:r>
          </w:p>
        </w:tc>
        <w:tc>
          <w:tcPr>
            <w:tcW w:w="2693"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重庆市渝北区龙山街道嘉鸿大道409号时光城1栋3-53、4-1</w:t>
            </w:r>
          </w:p>
        </w:tc>
        <w:tc>
          <w:tcPr>
            <w:tcW w:w="4394"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处罚决定书文号：渝北市监处字(2020)240号；违法行为类型：生产经营标注虚假生产日期、保质期或者超过保质期的食品、食品添加剂；处罚内容：罚款0.2万元，没收违法所得0.0045万元。处罚日期：2020-12-7</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37</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重庆浙兴包装有限公司</w:t>
            </w:r>
          </w:p>
        </w:tc>
        <w:tc>
          <w:tcPr>
            <w:tcW w:w="2693"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重庆市渝北区木耳镇石鞋村一社</w:t>
            </w:r>
          </w:p>
        </w:tc>
        <w:tc>
          <w:tcPr>
            <w:tcW w:w="4394"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处罚决定书文号：渝北市监处字(2020)213号；违法行为类型：使用未经定期检验或检验不合格特种设备；处罚内容：罚款3万元。处罚日期：2020-10-28</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38</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重庆商社新世纪百货连锁经营有限公司黄泥塝店</w:t>
            </w:r>
          </w:p>
        </w:tc>
        <w:tc>
          <w:tcPr>
            <w:tcW w:w="2693"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重庆市渝北区龙溪街道红黄路355号皇冠自由城E幢-1-1</w:t>
            </w:r>
          </w:p>
        </w:tc>
        <w:tc>
          <w:tcPr>
            <w:tcW w:w="4394"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处罚决定书文号：渝北市监处字(2020)239号；违法行为类型：生产经营致病性微生物，农药残留、兽药残留、生物毒素、重金属等污染物质以及其他危害人体健康的物质含量超过食品安全标准限量；处罚内容：罚款5万元，没收违法所得0.003432万元。处罚日期：2020-12-3</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39</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重庆重报电商物流有限公司</w:t>
            </w:r>
          </w:p>
        </w:tc>
        <w:tc>
          <w:tcPr>
            <w:tcW w:w="2693"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重庆市渝北区回兴街道食品城大道18号重庆广告产业园12幢</w:t>
            </w:r>
          </w:p>
        </w:tc>
        <w:tc>
          <w:tcPr>
            <w:tcW w:w="4394"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处罚决定书文号：渝北市监处字(2020)225号；违法行为类型：用非食品原料生产食品、在食品中添加食品添加剂以外的化学物质和其他可能危害人体健康的物质，或者用回收食品作为原料生产食品，或者经营上述食品；处罚内容：罚款12万元，没收违法所得0.004万元。处罚日期：2020-11-16</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40</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深圳沃尔玛百货零售有限公司重庆冉家坝分店</w:t>
            </w:r>
          </w:p>
        </w:tc>
        <w:tc>
          <w:tcPr>
            <w:tcW w:w="2693"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重庆市渝北区龙山大道111号“龙湖紫郡城”</w:t>
            </w:r>
          </w:p>
        </w:tc>
        <w:tc>
          <w:tcPr>
            <w:tcW w:w="4394"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处罚决定书文号：渝北市监处字(2020)207号；违法行为类型：销售使用国家禁止的兽药的食用农产品；处罚内容：罚款5万元，没收违法所得0.002922万元。处罚日期：2020-10-20</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93" w:type="dxa"/>
            <w:vAlign w:val="center"/>
          </w:tcPr>
          <w:p>
            <w:pPr>
              <w:spacing w:line="580" w:lineRule="exact"/>
              <w:jc w:val="center"/>
              <w:rPr>
                <w:rFonts w:ascii="Times New Roman" w:hAnsi="Times New Roman" w:eastAsia="方正仿宋_GBK" w:cs="Times New Roman"/>
                <w:color w:val="000000" w:themeColor="text1"/>
                <w:kern w:val="0"/>
                <w:sz w:val="28"/>
                <w:szCs w:val="28"/>
              </w:rPr>
            </w:pPr>
            <w:r>
              <w:rPr>
                <w:rFonts w:hint="eastAsia" w:ascii="Times New Roman" w:hAnsi="Times New Roman" w:eastAsia="方正仿宋_GBK" w:cs="Times New Roman"/>
                <w:color w:val="000000" w:themeColor="text1"/>
                <w:kern w:val="0"/>
                <w:sz w:val="28"/>
                <w:szCs w:val="28"/>
              </w:rPr>
              <w:t>41</w:t>
            </w:r>
          </w:p>
        </w:tc>
        <w:tc>
          <w:tcPr>
            <w:tcW w:w="992"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黑榜</w:t>
            </w:r>
          </w:p>
        </w:tc>
        <w:tc>
          <w:tcPr>
            <w:tcW w:w="2410"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重庆五黄机动车检测有限公司</w:t>
            </w:r>
          </w:p>
        </w:tc>
        <w:tc>
          <w:tcPr>
            <w:tcW w:w="2693"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重庆市渝北区龙塔街道吉安路6号14幢</w:t>
            </w:r>
          </w:p>
        </w:tc>
        <w:tc>
          <w:tcPr>
            <w:tcW w:w="4394" w:type="dxa"/>
            <w:vAlign w:val="center"/>
          </w:tcPr>
          <w:p>
            <w:pPr>
              <w:snapToGrid w:val="0"/>
              <w:spacing w:line="580" w:lineRule="exact"/>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处罚决定书文号：渝北市监处字(2020)238号；违法行为类型：检查机构违法：1、现场检查中外检记录由非外检人员填写；2、原始记录勾选错误；3、检验人员对检查流程不熟；4、车辆底盘部件检验时间不足；5、底盘部件检验人员配置不符合要求；6、柴油车排放检测线现场未配置冷却风机等问题；处罚内容：罚款2万元。处罚日期：2020-12-3</w:t>
            </w:r>
          </w:p>
        </w:tc>
        <w:tc>
          <w:tcPr>
            <w:tcW w:w="1559" w:type="dxa"/>
            <w:vAlign w:val="center"/>
          </w:tcPr>
          <w:p>
            <w:pPr>
              <w:snapToGrid w:val="0"/>
              <w:rPr>
                <w:rFonts w:ascii="Times New Roman" w:hAnsi="Times New Roman" w:eastAsia="方正仿宋_GBK" w:cs="Times New Roman"/>
                <w:color w:val="000000" w:themeColor="text1"/>
                <w:sz w:val="28"/>
                <w:szCs w:val="28"/>
              </w:rPr>
            </w:pPr>
            <w:r>
              <w:rPr>
                <w:rFonts w:hint="eastAsia" w:ascii="Times New Roman" w:hAnsi="Times New Roman" w:eastAsia="方正仿宋_GBK" w:cs="Times New Roman"/>
                <w:color w:val="000000" w:themeColor="text1"/>
                <w:sz w:val="28"/>
                <w:szCs w:val="28"/>
              </w:rPr>
              <w:t>区市场监管局</w:t>
            </w:r>
          </w:p>
        </w:tc>
      </w:tr>
    </w:tbl>
    <w:p>
      <w:pPr>
        <w:adjustRightInd w:val="0"/>
        <w:snapToGrid w:val="0"/>
        <w:spacing w:line="560" w:lineRule="exact"/>
        <w:rPr>
          <w:rFonts w:ascii="Times New Roman" w:hAnsi="Times New Roman" w:eastAsia="方正仿宋_GBK" w:cs="Times New Roman"/>
          <w:color w:val="000000" w:themeColor="text1"/>
          <w:sz w:val="32"/>
          <w:szCs w:val="32"/>
        </w:rPr>
      </w:pP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2D"/>
    <w:rsid w:val="00006E55"/>
    <w:rsid w:val="0002604C"/>
    <w:rsid w:val="00045080"/>
    <w:rsid w:val="000556F4"/>
    <w:rsid w:val="000731E2"/>
    <w:rsid w:val="0007570B"/>
    <w:rsid w:val="00076013"/>
    <w:rsid w:val="000828D6"/>
    <w:rsid w:val="00084DCC"/>
    <w:rsid w:val="00090F7C"/>
    <w:rsid w:val="00094695"/>
    <w:rsid w:val="000A02A4"/>
    <w:rsid w:val="000A4231"/>
    <w:rsid w:val="000A6032"/>
    <w:rsid w:val="000C020A"/>
    <w:rsid w:val="000C2A48"/>
    <w:rsid w:val="000C340C"/>
    <w:rsid w:val="000C7405"/>
    <w:rsid w:val="00105352"/>
    <w:rsid w:val="0010727D"/>
    <w:rsid w:val="00115098"/>
    <w:rsid w:val="001175E4"/>
    <w:rsid w:val="001324B4"/>
    <w:rsid w:val="001366BB"/>
    <w:rsid w:val="00140585"/>
    <w:rsid w:val="00142641"/>
    <w:rsid w:val="0014267D"/>
    <w:rsid w:val="00142DD5"/>
    <w:rsid w:val="001474D7"/>
    <w:rsid w:val="00157C80"/>
    <w:rsid w:val="00162184"/>
    <w:rsid w:val="00173082"/>
    <w:rsid w:val="001823D1"/>
    <w:rsid w:val="001E6BEF"/>
    <w:rsid w:val="001F10D1"/>
    <w:rsid w:val="001F1179"/>
    <w:rsid w:val="0022722E"/>
    <w:rsid w:val="00240D23"/>
    <w:rsid w:val="00245273"/>
    <w:rsid w:val="00246D28"/>
    <w:rsid w:val="00250AFB"/>
    <w:rsid w:val="002709C7"/>
    <w:rsid w:val="00283542"/>
    <w:rsid w:val="002901D0"/>
    <w:rsid w:val="00295028"/>
    <w:rsid w:val="002A2AB5"/>
    <w:rsid w:val="002A50D8"/>
    <w:rsid w:val="002B57A7"/>
    <w:rsid w:val="002F0338"/>
    <w:rsid w:val="0030118C"/>
    <w:rsid w:val="00303A42"/>
    <w:rsid w:val="00312FA5"/>
    <w:rsid w:val="0031785F"/>
    <w:rsid w:val="0032124D"/>
    <w:rsid w:val="003310FB"/>
    <w:rsid w:val="00344FE5"/>
    <w:rsid w:val="00345F86"/>
    <w:rsid w:val="003465C4"/>
    <w:rsid w:val="003925D7"/>
    <w:rsid w:val="003C1863"/>
    <w:rsid w:val="003C4C28"/>
    <w:rsid w:val="003D170E"/>
    <w:rsid w:val="003D49A4"/>
    <w:rsid w:val="003D569B"/>
    <w:rsid w:val="003E7992"/>
    <w:rsid w:val="0040138A"/>
    <w:rsid w:val="00431947"/>
    <w:rsid w:val="00434E59"/>
    <w:rsid w:val="00441411"/>
    <w:rsid w:val="004735A8"/>
    <w:rsid w:val="0047651E"/>
    <w:rsid w:val="004B03F3"/>
    <w:rsid w:val="004B0411"/>
    <w:rsid w:val="00511EA3"/>
    <w:rsid w:val="00541B5C"/>
    <w:rsid w:val="00543352"/>
    <w:rsid w:val="005528E0"/>
    <w:rsid w:val="00553D6D"/>
    <w:rsid w:val="00562E67"/>
    <w:rsid w:val="00570C20"/>
    <w:rsid w:val="00576A7E"/>
    <w:rsid w:val="005A3033"/>
    <w:rsid w:val="005B49DA"/>
    <w:rsid w:val="005C2424"/>
    <w:rsid w:val="005D41D6"/>
    <w:rsid w:val="005E3B7A"/>
    <w:rsid w:val="00623344"/>
    <w:rsid w:val="0062767C"/>
    <w:rsid w:val="006318BB"/>
    <w:rsid w:val="0065000D"/>
    <w:rsid w:val="006610CE"/>
    <w:rsid w:val="006636C2"/>
    <w:rsid w:val="006824BE"/>
    <w:rsid w:val="00684F68"/>
    <w:rsid w:val="006A5AF3"/>
    <w:rsid w:val="006E1B51"/>
    <w:rsid w:val="006F148E"/>
    <w:rsid w:val="006F680C"/>
    <w:rsid w:val="00714515"/>
    <w:rsid w:val="00735E9A"/>
    <w:rsid w:val="0075059F"/>
    <w:rsid w:val="00760043"/>
    <w:rsid w:val="00762795"/>
    <w:rsid w:val="00762A42"/>
    <w:rsid w:val="00781B18"/>
    <w:rsid w:val="00787207"/>
    <w:rsid w:val="00793FE4"/>
    <w:rsid w:val="007C0E1A"/>
    <w:rsid w:val="007C19C7"/>
    <w:rsid w:val="007C7E90"/>
    <w:rsid w:val="007D63C4"/>
    <w:rsid w:val="007E2808"/>
    <w:rsid w:val="007E2C5D"/>
    <w:rsid w:val="007E551E"/>
    <w:rsid w:val="00813BDA"/>
    <w:rsid w:val="00834366"/>
    <w:rsid w:val="00841C3D"/>
    <w:rsid w:val="00843986"/>
    <w:rsid w:val="00865177"/>
    <w:rsid w:val="00867D71"/>
    <w:rsid w:val="0089694D"/>
    <w:rsid w:val="008B6412"/>
    <w:rsid w:val="008C4ECA"/>
    <w:rsid w:val="008E1AA2"/>
    <w:rsid w:val="008F1039"/>
    <w:rsid w:val="008F389D"/>
    <w:rsid w:val="008F3AC3"/>
    <w:rsid w:val="008F5E11"/>
    <w:rsid w:val="008F7BAA"/>
    <w:rsid w:val="00913A62"/>
    <w:rsid w:val="00913E40"/>
    <w:rsid w:val="00915028"/>
    <w:rsid w:val="009204B0"/>
    <w:rsid w:val="00944897"/>
    <w:rsid w:val="00946CF0"/>
    <w:rsid w:val="009608A7"/>
    <w:rsid w:val="00971863"/>
    <w:rsid w:val="009738FA"/>
    <w:rsid w:val="009C5760"/>
    <w:rsid w:val="009D1AE9"/>
    <w:rsid w:val="009D4100"/>
    <w:rsid w:val="00A03556"/>
    <w:rsid w:val="00A04309"/>
    <w:rsid w:val="00A1617F"/>
    <w:rsid w:val="00A17D60"/>
    <w:rsid w:val="00A20CE1"/>
    <w:rsid w:val="00A24D86"/>
    <w:rsid w:val="00A3606F"/>
    <w:rsid w:val="00A52442"/>
    <w:rsid w:val="00A53F0B"/>
    <w:rsid w:val="00A829B7"/>
    <w:rsid w:val="00A93E45"/>
    <w:rsid w:val="00A94DAA"/>
    <w:rsid w:val="00A96FEE"/>
    <w:rsid w:val="00AB3DE2"/>
    <w:rsid w:val="00AC5CC9"/>
    <w:rsid w:val="00B1763B"/>
    <w:rsid w:val="00B4216F"/>
    <w:rsid w:val="00B5142C"/>
    <w:rsid w:val="00B54B2D"/>
    <w:rsid w:val="00B557D6"/>
    <w:rsid w:val="00B627F0"/>
    <w:rsid w:val="00B97AFC"/>
    <w:rsid w:val="00BA05B6"/>
    <w:rsid w:val="00BA6AC8"/>
    <w:rsid w:val="00BC0AF5"/>
    <w:rsid w:val="00BC5C7A"/>
    <w:rsid w:val="00C307C8"/>
    <w:rsid w:val="00C3540C"/>
    <w:rsid w:val="00C522DA"/>
    <w:rsid w:val="00C54B1C"/>
    <w:rsid w:val="00C7497E"/>
    <w:rsid w:val="00C8280A"/>
    <w:rsid w:val="00C91D87"/>
    <w:rsid w:val="00C94F31"/>
    <w:rsid w:val="00CD02F6"/>
    <w:rsid w:val="00CD0A65"/>
    <w:rsid w:val="00CE642E"/>
    <w:rsid w:val="00CE6FBD"/>
    <w:rsid w:val="00CF5739"/>
    <w:rsid w:val="00D1145B"/>
    <w:rsid w:val="00D15BF8"/>
    <w:rsid w:val="00D35A6D"/>
    <w:rsid w:val="00D37343"/>
    <w:rsid w:val="00D4298D"/>
    <w:rsid w:val="00D462B0"/>
    <w:rsid w:val="00D4755E"/>
    <w:rsid w:val="00D569F6"/>
    <w:rsid w:val="00D65FCB"/>
    <w:rsid w:val="00D7793E"/>
    <w:rsid w:val="00D8538A"/>
    <w:rsid w:val="00D91AC4"/>
    <w:rsid w:val="00D9309F"/>
    <w:rsid w:val="00D97268"/>
    <w:rsid w:val="00D97CA7"/>
    <w:rsid w:val="00DA070C"/>
    <w:rsid w:val="00DA5866"/>
    <w:rsid w:val="00DB743E"/>
    <w:rsid w:val="00DD4436"/>
    <w:rsid w:val="00DF05EA"/>
    <w:rsid w:val="00E0078D"/>
    <w:rsid w:val="00E34787"/>
    <w:rsid w:val="00E42777"/>
    <w:rsid w:val="00E466D4"/>
    <w:rsid w:val="00E46C5B"/>
    <w:rsid w:val="00E773DD"/>
    <w:rsid w:val="00ED6E08"/>
    <w:rsid w:val="00F12A09"/>
    <w:rsid w:val="00F27104"/>
    <w:rsid w:val="00F338B9"/>
    <w:rsid w:val="00F44449"/>
    <w:rsid w:val="00F560C5"/>
    <w:rsid w:val="00F76489"/>
    <w:rsid w:val="00F80F42"/>
    <w:rsid w:val="00FC5785"/>
    <w:rsid w:val="00FD3AEF"/>
    <w:rsid w:val="00FE0D8D"/>
    <w:rsid w:val="00FE45DE"/>
    <w:rsid w:val="2B4C0BB4"/>
    <w:rsid w:val="7A64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sz w:val="18"/>
      <w:szCs w:val="18"/>
    </w:rPr>
  </w:style>
  <w:style w:type="character" w:customStyle="1" w:styleId="9">
    <w:name w:val="页脚 Char"/>
    <w:basedOn w:val="7"/>
    <w:link w:val="3"/>
    <w:semiHidden/>
    <w:uiPriority w:val="99"/>
    <w:rPr>
      <w:sz w:val="18"/>
      <w:szCs w:val="18"/>
    </w:rPr>
  </w:style>
  <w:style w:type="character" w:customStyle="1" w:styleId="10">
    <w:name w:val="日期 Char"/>
    <w:basedOn w:val="7"/>
    <w:link w:val="2"/>
    <w:semiHidden/>
    <w:uiPriority w:val="99"/>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A3FC1-BF6B-4D99-95DF-A98352CF69F3}">
  <ds:schemaRefs/>
</ds:datastoreItem>
</file>

<file path=docProps/app.xml><?xml version="1.0" encoding="utf-8"?>
<Properties xmlns="http://schemas.openxmlformats.org/officeDocument/2006/extended-properties" xmlns:vt="http://schemas.openxmlformats.org/officeDocument/2006/docPropsVTypes">
  <Template>Normal</Template>
  <Pages>24</Pages>
  <Words>974</Words>
  <Characters>5552</Characters>
  <Lines>46</Lines>
  <Paragraphs>13</Paragraphs>
  <TotalTime>213</TotalTime>
  <ScaleCrop>false</ScaleCrop>
  <LinksUpToDate>false</LinksUpToDate>
  <CharactersWithSpaces>6513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2020-10-21T01:56:00Z</dcterms:created>
  <dc:creator>Administrator</dc:creator>
  <cp:lastModifiedBy>沙漠</cp:lastModifiedBy>
  <cp:lastPrinted>2020-10-26T02:45:00Z</cp:lastPrinted>
  <dcterms:modified xsi:type="dcterms:W3CDTF">2021-01-29T09:25:44Z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702845071_btnclosed</vt:lpwstr>
  </property>
</Properties>
</file>